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511A7" w14:textId="10DE54D8" w:rsidR="002C4778" w:rsidRPr="00D46FB9" w:rsidRDefault="00D46FB9" w:rsidP="00D46FB9">
      <w:pPr>
        <w:spacing w:after="80"/>
        <w:jc w:val="center"/>
        <w:rPr>
          <w:sz w:val="16"/>
          <w:szCs w:val="16"/>
        </w:rPr>
      </w:pPr>
      <w:r w:rsidRPr="00D46FB9">
        <w:rPr>
          <w:rFonts w:ascii="Calibri" w:eastAsia="Calibri" w:hAnsi="Calibri" w:cs="Calibri"/>
          <w:b/>
          <w:bCs/>
          <w:color w:val="B5006E"/>
          <w:sz w:val="32"/>
          <w:szCs w:val="32"/>
        </w:rPr>
        <w:t xml:space="preserve">SOUTH SUDAN ON THE BRINK: </w:t>
      </w:r>
      <w:r>
        <w:rPr>
          <w:rFonts w:ascii="Calibri" w:eastAsia="Calibri" w:hAnsi="Calibri" w:cs="Calibri"/>
          <w:b/>
          <w:bCs/>
          <w:color w:val="B5006E"/>
          <w:sz w:val="32"/>
          <w:szCs w:val="32"/>
        </w:rPr>
        <w:br/>
        <w:t>T</w:t>
      </w:r>
      <w:r w:rsidRPr="00D46FB9">
        <w:rPr>
          <w:rFonts w:ascii="Calibri" w:eastAsia="Calibri" w:hAnsi="Calibri" w:cs="Calibri"/>
          <w:b/>
          <w:bCs/>
          <w:color w:val="B5006E"/>
          <w:sz w:val="32"/>
          <w:szCs w:val="32"/>
        </w:rPr>
        <w:t>he Urgent Importance of an Integrated Peacebuilding Approach</w:t>
      </w:r>
    </w:p>
    <w:p w14:paraId="2419BC82" w14:textId="1F71205B" w:rsidR="00D46FB9" w:rsidRPr="00BF1343" w:rsidRDefault="00CA2E82" w:rsidP="00BF1343">
      <w:pPr>
        <w:spacing w:after="200"/>
        <w:jc w:val="center"/>
        <w:rPr>
          <w:rFonts w:ascii="Calibri" w:eastAsia="Calibri" w:hAnsi="Calibri" w:cs="Calibri"/>
          <w:i/>
          <w:iCs/>
          <w:color w:val="333333"/>
          <w:sz w:val="24"/>
          <w:szCs w:val="24"/>
        </w:rPr>
      </w:pPr>
      <w:r w:rsidRPr="00D46FB9">
        <w:rPr>
          <w:rFonts w:ascii="Calibri" w:eastAsia="Calibri" w:hAnsi="Calibri" w:cs="Calibri"/>
          <w:i/>
          <w:iCs/>
          <w:color w:val="333333"/>
          <w:sz w:val="24"/>
          <w:szCs w:val="24"/>
        </w:rPr>
        <w:t>Experiences and lessons learned from PAX, Plan International and HealthNet TPO</w:t>
      </w:r>
    </w:p>
    <w:tbl>
      <w:tblPr>
        <w:tblW w:w="9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90"/>
      </w:tblGrid>
      <w:tr w:rsidR="002C4778" w14:paraId="7F5DDAE7" w14:textId="77777777" w:rsidTr="00D46FB9">
        <w:tc>
          <w:tcPr>
            <w:tcW w:w="9990" w:type="dxa"/>
            <w:tcBorders>
              <w:top w:val="single" w:sz="1" w:space="0" w:color="C8007A"/>
              <w:left w:val="none" w:sz="0" w:space="0" w:color="FFFFFF"/>
              <w:bottom w:val="single" w:sz="1" w:space="0" w:color="C8007A"/>
              <w:right w:val="none" w:sz="0" w:space="0" w:color="FFFFFF"/>
            </w:tcBorders>
            <w:shd w:val="clear" w:color="auto" w:fill="B5006E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2FAC4849" w14:textId="77777777" w:rsidR="002C4778" w:rsidRDefault="00CA2E82">
            <w:r>
              <w:rPr>
                <w:rFonts w:ascii="Calibri" w:eastAsia="Calibri" w:hAnsi="Calibri" w:cs="Calibri"/>
                <w:b/>
                <w:bCs/>
                <w:color w:val="FFFFFF"/>
                <w:sz w:val="22"/>
                <w:szCs w:val="22"/>
              </w:rPr>
              <w:t>THE CRISIS: SOUTH SUDAN AT A TIPPING POINT</w:t>
            </w:r>
          </w:p>
        </w:tc>
      </w:tr>
    </w:tbl>
    <w:p w14:paraId="41E3A7CD" w14:textId="2E6209A3" w:rsidR="002C4778" w:rsidRDefault="00CA2E82" w:rsidP="00D46FB9">
      <w:pPr>
        <w:spacing w:after="80"/>
        <w:jc w:val="both"/>
      </w:pPr>
      <w:r>
        <w:rPr>
          <w:rFonts w:ascii="Calibri" w:eastAsia="Calibri" w:hAnsi="Calibri" w:cs="Calibri"/>
          <w:color w:val="333333"/>
        </w:rPr>
        <w:t xml:space="preserve">South Sudan remains one of the world's most fragile contexts. The 2018 peace deal has failed to hold: renewed violence, political instability, mass displacement, </w:t>
      </w:r>
      <w:r w:rsidR="00B8208B">
        <w:rPr>
          <w:rFonts w:ascii="Calibri" w:eastAsia="Calibri" w:hAnsi="Calibri" w:cs="Calibri"/>
          <w:color w:val="333333"/>
        </w:rPr>
        <w:t xml:space="preserve">impunity </w:t>
      </w:r>
      <w:r>
        <w:rPr>
          <w:rFonts w:ascii="Calibri" w:eastAsia="Calibri" w:hAnsi="Calibri" w:cs="Calibri"/>
          <w:color w:val="333333"/>
        </w:rPr>
        <w:t xml:space="preserve">and entrenched gender inequality define daily life for millions. Women and girls bear a disproportionate burden — facing pervasive sexual and gender-based violence, severely restricted civic space, and limited access to justice. In all layers of society, people are deeply traumatised. Root causes of conflict </w:t>
      </w:r>
      <w:r w:rsidR="00B8208B">
        <w:rPr>
          <w:rFonts w:ascii="Calibri" w:eastAsia="Calibri" w:hAnsi="Calibri" w:cs="Calibri"/>
          <w:color w:val="333333"/>
        </w:rPr>
        <w:t xml:space="preserve">- </w:t>
      </w:r>
      <w:r w:rsidR="00625D18">
        <w:rPr>
          <w:rFonts w:ascii="Calibri" w:eastAsia="Calibri" w:hAnsi="Calibri" w:cs="Calibri"/>
          <w:color w:val="333333"/>
        </w:rPr>
        <w:t>including</w:t>
      </w:r>
      <w:r>
        <w:rPr>
          <w:rFonts w:ascii="Calibri" w:eastAsia="Calibri" w:hAnsi="Calibri" w:cs="Calibri"/>
          <w:color w:val="333333"/>
        </w:rPr>
        <w:t xml:space="preserve"> land disputes, political manipulation, </w:t>
      </w:r>
      <w:r w:rsidR="00BF1343">
        <w:rPr>
          <w:rFonts w:ascii="Calibri" w:eastAsia="Calibri" w:hAnsi="Calibri" w:cs="Calibri"/>
          <w:color w:val="333333"/>
        </w:rPr>
        <w:t xml:space="preserve">(instrumentalization of) </w:t>
      </w:r>
      <w:r>
        <w:rPr>
          <w:rFonts w:ascii="Calibri" w:eastAsia="Calibri" w:hAnsi="Calibri" w:cs="Calibri"/>
          <w:color w:val="333333"/>
        </w:rPr>
        <w:t>inter-ethnic violence</w:t>
      </w:r>
      <w:r w:rsidR="00B8208B">
        <w:rPr>
          <w:rFonts w:ascii="Calibri" w:eastAsia="Calibri" w:hAnsi="Calibri" w:cs="Calibri"/>
          <w:color w:val="333333"/>
        </w:rPr>
        <w:t>-</w:t>
      </w:r>
      <w:r>
        <w:rPr>
          <w:rFonts w:ascii="Calibri" w:eastAsia="Calibri" w:hAnsi="Calibri" w:cs="Calibri"/>
          <w:color w:val="333333"/>
        </w:rPr>
        <w:t xml:space="preserve"> remain </w:t>
      </w:r>
      <w:r w:rsidR="00647E54">
        <w:rPr>
          <w:rFonts w:ascii="Calibri" w:eastAsia="Calibri" w:hAnsi="Calibri" w:cs="Calibri"/>
          <w:color w:val="333333"/>
        </w:rPr>
        <w:t xml:space="preserve">too often </w:t>
      </w:r>
      <w:r>
        <w:rPr>
          <w:rFonts w:ascii="Calibri" w:eastAsia="Calibri" w:hAnsi="Calibri" w:cs="Calibri"/>
          <w:color w:val="333333"/>
        </w:rPr>
        <w:t>unaddressed.</w:t>
      </w:r>
    </w:p>
    <w:p w14:paraId="27B3A672" w14:textId="221300A3" w:rsidR="00D46FB9" w:rsidRPr="00412744" w:rsidRDefault="00CA2E82" w:rsidP="00412744">
      <w:pPr>
        <w:spacing w:after="80"/>
        <w:jc w:val="both"/>
        <w:rPr>
          <w:rFonts w:ascii="Calibri" w:eastAsia="Calibri" w:hAnsi="Calibri" w:cs="Calibri"/>
          <w:color w:val="333333"/>
        </w:rPr>
      </w:pPr>
      <w:r>
        <w:rPr>
          <w:rFonts w:ascii="Calibri" w:eastAsia="Calibri" w:hAnsi="Calibri" w:cs="Calibri"/>
          <w:color w:val="333333"/>
        </w:rPr>
        <w:t>Despite immense adversity, local women's groups, community leaders, and civil society organisations have demonstrated extraordinary resilience. Their work shows that sustainable peace requires more than political agreements: it demands integrated approaches that address the human, social, and structural dimensions of conflict.</w:t>
      </w:r>
      <w:r w:rsidR="006F2FF3">
        <w:rPr>
          <w:rFonts w:ascii="Calibri" w:eastAsia="Calibri" w:hAnsi="Calibri" w:cs="Calibri"/>
          <w:color w:val="333333"/>
        </w:rPr>
        <w:t xml:space="preserve"> </w:t>
      </w:r>
    </w:p>
    <w:tbl>
      <w:tblPr>
        <w:tblW w:w="9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90"/>
      </w:tblGrid>
      <w:tr w:rsidR="002C4778" w14:paraId="36AB48EE" w14:textId="77777777" w:rsidTr="00D46FB9">
        <w:tc>
          <w:tcPr>
            <w:tcW w:w="9990" w:type="dxa"/>
            <w:tcBorders>
              <w:top w:val="single" w:sz="1" w:space="0" w:color="C8007A"/>
              <w:left w:val="none" w:sz="0" w:space="0" w:color="FFFFFF"/>
              <w:bottom w:val="single" w:sz="1" w:space="0" w:color="C8007A"/>
              <w:right w:val="none" w:sz="0" w:space="0" w:color="FFFFFF"/>
            </w:tcBorders>
            <w:shd w:val="clear" w:color="auto" w:fill="B5006E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34F85A41" w14:textId="77777777" w:rsidR="002C4778" w:rsidRDefault="00CA2E82">
            <w:r>
              <w:rPr>
                <w:rFonts w:ascii="Calibri" w:eastAsia="Calibri" w:hAnsi="Calibri" w:cs="Calibri"/>
                <w:b/>
                <w:bCs/>
                <w:color w:val="FFFFFF"/>
                <w:sz w:val="22"/>
                <w:szCs w:val="22"/>
              </w:rPr>
              <w:t>THREE PILLARS OF INTEGRATED PEACEBUILDING</w:t>
            </w:r>
          </w:p>
        </w:tc>
      </w:tr>
    </w:tbl>
    <w:p w14:paraId="641999B7" w14:textId="77777777" w:rsidR="002C4778" w:rsidRDefault="002C4778">
      <w:pPr>
        <w:spacing w:after="100"/>
      </w:pP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15"/>
        <w:gridCol w:w="3240"/>
        <w:gridCol w:w="3330"/>
      </w:tblGrid>
      <w:tr w:rsidR="002C4778" w14:paraId="40878DCB" w14:textId="77777777" w:rsidTr="00D46FB9">
        <w:tc>
          <w:tcPr>
            <w:tcW w:w="3415" w:type="dxa"/>
            <w:tcBorders>
              <w:top w:val="single" w:sz="4" w:space="0" w:color="C8007A"/>
              <w:left w:val="single" w:sz="4" w:space="0" w:color="C8007A"/>
              <w:bottom w:val="single" w:sz="4" w:space="0" w:color="C8007A"/>
              <w:right w:val="single" w:sz="4" w:space="0" w:color="C8007A"/>
            </w:tcBorders>
            <w:shd w:val="clear" w:color="auto" w:fill="FDF0F6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452AF7B8" w14:textId="77777777" w:rsidR="002C4778" w:rsidRDefault="00CA2E82">
            <w:pPr>
              <w:spacing w:after="100"/>
            </w:pPr>
            <w:r>
              <w:rPr>
                <w:rFonts w:ascii="Calibri" w:eastAsia="Calibri" w:hAnsi="Calibri" w:cs="Calibri"/>
                <w:b/>
                <w:bCs/>
                <w:color w:val="B5006E"/>
                <w:sz w:val="19"/>
                <w:szCs w:val="19"/>
              </w:rPr>
              <w:t>🧠  Mental Health &amp; Psychosocial Support</w:t>
            </w:r>
          </w:p>
          <w:p w14:paraId="1C6E1973" w14:textId="77777777" w:rsidR="002C4778" w:rsidRDefault="00CA2E82">
            <w:r>
              <w:rPr>
                <w:rFonts w:ascii="Calibri" w:eastAsia="Calibri" w:hAnsi="Calibri" w:cs="Calibri"/>
                <w:color w:val="333333"/>
                <w:sz w:val="18"/>
                <w:szCs w:val="18"/>
              </w:rPr>
              <w:t>Trauma is pervasive in South Sudan. Psychosocial wellbeing is not an optional service — it is the foundation that enables women and communities to participate in peace. MHPSS must be embedded in all WPS frameworks, National Action Plans, and peacebuilding strategies.</w:t>
            </w:r>
          </w:p>
        </w:tc>
        <w:tc>
          <w:tcPr>
            <w:tcW w:w="3240" w:type="dxa"/>
            <w:tcBorders>
              <w:top w:val="single" w:sz="4" w:space="0" w:color="C8007A"/>
              <w:left w:val="single" w:sz="4" w:space="0" w:color="C8007A"/>
              <w:bottom w:val="single" w:sz="4" w:space="0" w:color="C8007A"/>
              <w:right w:val="single" w:sz="4" w:space="0" w:color="C8007A"/>
            </w:tcBorders>
            <w:shd w:val="clear" w:color="auto" w:fill="FDF0F6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46D30ED1" w14:textId="77777777" w:rsidR="002C4778" w:rsidRDefault="00CA2E82">
            <w:pPr>
              <w:spacing w:after="100"/>
            </w:pPr>
            <w:r>
              <w:rPr>
                <w:rFonts w:ascii="Calibri" w:eastAsia="Calibri" w:hAnsi="Calibri" w:cs="Calibri"/>
                <w:b/>
                <w:bCs/>
                <w:color w:val="B5006E"/>
                <w:sz w:val="19"/>
                <w:szCs w:val="19"/>
              </w:rPr>
              <w:t>♂  Militarised Masculinities &amp; Engaging Men and Boys</w:t>
            </w:r>
          </w:p>
          <w:p w14:paraId="29EC510D" w14:textId="10582409" w:rsidR="002C4778" w:rsidRDefault="00CA2E82">
            <w:r>
              <w:rPr>
                <w:rFonts w:ascii="Calibri" w:eastAsia="Calibri" w:hAnsi="Calibri" w:cs="Calibri"/>
                <w:color w:val="333333"/>
                <w:sz w:val="18"/>
                <w:szCs w:val="18"/>
              </w:rPr>
              <w:t xml:space="preserve">Deeply entrenched </w:t>
            </w:r>
            <w:r w:rsidR="00647E54">
              <w:rPr>
                <w:rFonts w:ascii="Calibri" w:eastAsia="Calibri" w:hAnsi="Calibri" w:cs="Calibri"/>
                <w:color w:val="333333"/>
                <w:sz w:val="18"/>
                <w:szCs w:val="18"/>
              </w:rPr>
              <w:t xml:space="preserve">rigid </w:t>
            </w:r>
            <w:r>
              <w:rPr>
                <w:rFonts w:ascii="Calibri" w:eastAsia="Calibri" w:hAnsi="Calibri" w:cs="Calibri"/>
                <w:color w:val="333333"/>
                <w:sz w:val="18"/>
                <w:szCs w:val="18"/>
              </w:rPr>
              <w:t>gender roles and militarised cultures perpetuate violence. Transformative engagement with men and boys — challenging harmful norms and promoting positive masculinities — is an essential, often overlooked pillar of sustainable peacebuilding.</w:t>
            </w:r>
          </w:p>
        </w:tc>
        <w:tc>
          <w:tcPr>
            <w:tcW w:w="3330" w:type="dxa"/>
            <w:tcBorders>
              <w:top w:val="single" w:sz="4" w:space="0" w:color="C8007A"/>
              <w:left w:val="single" w:sz="4" w:space="0" w:color="C8007A"/>
              <w:bottom w:val="single" w:sz="4" w:space="0" w:color="C8007A"/>
              <w:right w:val="single" w:sz="4" w:space="0" w:color="C8007A"/>
            </w:tcBorders>
            <w:shd w:val="clear" w:color="auto" w:fill="FDF0F6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69EE337E" w14:textId="77777777" w:rsidR="002C4778" w:rsidRDefault="00CA2E82">
            <w:pPr>
              <w:spacing w:after="100"/>
            </w:pPr>
            <w:r>
              <w:rPr>
                <w:rFonts w:ascii="Calibri" w:eastAsia="Calibri" w:hAnsi="Calibri" w:cs="Calibri"/>
                <w:b/>
                <w:bCs/>
                <w:color w:val="B5006E"/>
                <w:sz w:val="19"/>
                <w:szCs w:val="19"/>
              </w:rPr>
              <w:t>♀  Gender-Transformative Approaches &amp; Youth/Women's Leadership</w:t>
            </w:r>
          </w:p>
          <w:p w14:paraId="723A4575" w14:textId="4CFC0CDD" w:rsidR="002C4778" w:rsidRDefault="00CA2E82">
            <w:r>
              <w:rPr>
                <w:rFonts w:ascii="Calibri" w:eastAsia="Calibri" w:hAnsi="Calibri" w:cs="Calibri"/>
                <w:color w:val="333333"/>
                <w:sz w:val="18"/>
                <w:szCs w:val="18"/>
              </w:rPr>
              <w:t xml:space="preserve">Women and youth leaders are agents of change, not just beneficiaries. A gender-transformative approach goes beyond participation to dismantle structural inequalities, ensuring women and young people lead and </w:t>
            </w:r>
            <w:r w:rsidR="00647E54">
              <w:rPr>
                <w:rFonts w:ascii="Calibri" w:eastAsia="Calibri" w:hAnsi="Calibri" w:cs="Calibri"/>
                <w:color w:val="333333"/>
                <w:sz w:val="18"/>
                <w:szCs w:val="18"/>
              </w:rPr>
              <w:t>participate in</w:t>
            </w:r>
            <w:r>
              <w:rPr>
                <w:rFonts w:ascii="Calibri" w:eastAsia="Calibri" w:hAnsi="Calibri" w:cs="Calibri"/>
                <w:color w:val="333333"/>
                <w:sz w:val="18"/>
                <w:szCs w:val="18"/>
              </w:rPr>
              <w:t xml:space="preserve"> peace processes from the community to the national level.</w:t>
            </w:r>
          </w:p>
        </w:tc>
      </w:tr>
    </w:tbl>
    <w:p w14:paraId="5BA11B0C" w14:textId="77777777" w:rsidR="00D46FB9" w:rsidRDefault="00D46FB9">
      <w:pPr>
        <w:spacing w:after="120"/>
      </w:pPr>
    </w:p>
    <w:tbl>
      <w:tblPr>
        <w:tblW w:w="9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90"/>
      </w:tblGrid>
      <w:tr w:rsidR="002C4778" w14:paraId="28B1D3E6" w14:textId="77777777" w:rsidTr="00D46FB9">
        <w:tc>
          <w:tcPr>
            <w:tcW w:w="9990" w:type="dxa"/>
            <w:tcBorders>
              <w:top w:val="single" w:sz="1" w:space="0" w:color="C8007A"/>
              <w:left w:val="none" w:sz="0" w:space="0" w:color="FFFFFF"/>
              <w:bottom w:val="single" w:sz="1" w:space="0" w:color="C8007A"/>
              <w:right w:val="none" w:sz="0" w:space="0" w:color="FFFFFF"/>
            </w:tcBorders>
            <w:shd w:val="clear" w:color="auto" w:fill="B5006E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5616185F" w14:textId="5524FFA9" w:rsidR="002C4778" w:rsidRDefault="00CA2E82">
            <w:r>
              <w:rPr>
                <w:rFonts w:ascii="Calibri" w:eastAsia="Calibri" w:hAnsi="Calibri" w:cs="Calibri"/>
                <w:b/>
                <w:bCs/>
                <w:color w:val="FFFFFF"/>
                <w:sz w:val="22"/>
                <w:szCs w:val="22"/>
              </w:rPr>
              <w:t>WHAT THE EVIDENCE SHOWS</w:t>
            </w:r>
            <w:r w:rsidR="00444B41">
              <w:rPr>
                <w:rFonts w:ascii="Calibri" w:eastAsia="Calibri" w:hAnsi="Calibri" w:cs="Calibri"/>
                <w:b/>
                <w:bCs/>
                <w:color w:val="FFFFFF"/>
                <w:sz w:val="22"/>
                <w:szCs w:val="22"/>
              </w:rPr>
              <w:t xml:space="preserve"> </w:t>
            </w:r>
            <w:r w:rsidR="005E4795">
              <w:rPr>
                <w:rFonts w:ascii="Calibri" w:eastAsia="Calibri" w:hAnsi="Calibri" w:cs="Calibri"/>
                <w:b/>
                <w:bCs/>
                <w:color w:val="FFFFFF"/>
                <w:sz w:val="22"/>
                <w:szCs w:val="22"/>
              </w:rPr>
              <w:t xml:space="preserve">AND OUR </w:t>
            </w:r>
            <w:r w:rsidR="00D41626">
              <w:rPr>
                <w:rFonts w:ascii="Calibri" w:eastAsia="Calibri" w:hAnsi="Calibri" w:cs="Calibri"/>
                <w:b/>
                <w:bCs/>
                <w:color w:val="FFFFFF"/>
                <w:sz w:val="22"/>
                <w:szCs w:val="22"/>
              </w:rPr>
              <w:t xml:space="preserve">JOINT </w:t>
            </w:r>
            <w:r w:rsidR="009D18BB">
              <w:rPr>
                <w:rFonts w:ascii="Calibri" w:eastAsia="Calibri" w:hAnsi="Calibri" w:cs="Calibri"/>
                <w:b/>
                <w:bCs/>
                <w:color w:val="FFFFFF"/>
                <w:sz w:val="22"/>
                <w:szCs w:val="22"/>
              </w:rPr>
              <w:t>CALL TO ACTION</w:t>
            </w:r>
            <w:r w:rsidR="00FB1F98">
              <w:rPr>
                <w:rFonts w:ascii="Calibri" w:eastAsia="Calibri" w:hAnsi="Calibri" w:cs="Calibri"/>
                <w:b/>
                <w:bCs/>
                <w:color w:val="FFFFFF"/>
                <w:sz w:val="22"/>
                <w:szCs w:val="22"/>
              </w:rPr>
              <w:t xml:space="preserve"> </w:t>
            </w:r>
          </w:p>
        </w:tc>
      </w:tr>
    </w:tbl>
    <w:p w14:paraId="16FB93E0" w14:textId="77777777" w:rsidR="00461E11" w:rsidRDefault="00461E11" w:rsidP="00D46FB9">
      <w:pPr>
        <w:spacing w:after="80"/>
      </w:pPr>
    </w:p>
    <w:p w14:paraId="4B19C25D" w14:textId="35C51DD7" w:rsidR="002C4778" w:rsidRDefault="00CA2E82" w:rsidP="00D46FB9">
      <w:pPr>
        <w:spacing w:after="80"/>
      </w:pPr>
      <w:r>
        <w:rPr>
          <w:rFonts w:ascii="Calibri" w:eastAsia="Calibri" w:hAnsi="Calibri" w:cs="Calibri"/>
          <w:color w:val="333333"/>
        </w:rPr>
        <w:t xml:space="preserve">Grounded in evidence from </w:t>
      </w:r>
      <w:r w:rsidR="00647E54">
        <w:rPr>
          <w:rFonts w:ascii="Calibri" w:eastAsia="Calibri" w:hAnsi="Calibri" w:cs="Calibri"/>
          <w:color w:val="333333"/>
        </w:rPr>
        <w:t>a.o. the Leaders of Peace Programme (</w:t>
      </w:r>
      <w:r>
        <w:rPr>
          <w:rFonts w:ascii="Calibri" w:eastAsia="Calibri" w:hAnsi="Calibri" w:cs="Calibri"/>
          <w:color w:val="333333"/>
        </w:rPr>
        <w:t xml:space="preserve">PAX, Plan International, </w:t>
      </w:r>
      <w:r w:rsidR="00647E54">
        <w:rPr>
          <w:rFonts w:ascii="Calibri" w:eastAsia="Calibri" w:hAnsi="Calibri" w:cs="Calibri"/>
          <w:color w:val="333333"/>
        </w:rPr>
        <w:t xml:space="preserve">AMA, EVE </w:t>
      </w:r>
      <w:r>
        <w:rPr>
          <w:rFonts w:ascii="Calibri" w:eastAsia="Calibri" w:hAnsi="Calibri" w:cs="Calibri"/>
          <w:color w:val="333333"/>
        </w:rPr>
        <w:t>and HealthNet TPO</w:t>
      </w:r>
      <w:r w:rsidR="00647E54">
        <w:rPr>
          <w:rFonts w:ascii="Calibri" w:eastAsia="Calibri" w:hAnsi="Calibri" w:cs="Calibri"/>
          <w:color w:val="333333"/>
        </w:rPr>
        <w:t>)</w:t>
      </w:r>
      <w:r>
        <w:rPr>
          <w:rFonts w:ascii="Calibri" w:eastAsia="Calibri" w:hAnsi="Calibri" w:cs="Calibri"/>
          <w:color w:val="333333"/>
        </w:rPr>
        <w:t xml:space="preserve"> Shared Learning Agenda, </w:t>
      </w:r>
      <w:r w:rsidR="000A27AB">
        <w:rPr>
          <w:rFonts w:ascii="Calibri" w:eastAsia="Calibri" w:hAnsi="Calibri" w:cs="Calibri"/>
          <w:color w:val="333333"/>
        </w:rPr>
        <w:t>we</w:t>
      </w:r>
      <w:r w:rsidR="00BF1343">
        <w:rPr>
          <w:rFonts w:ascii="Calibri" w:eastAsia="Calibri" w:hAnsi="Calibri" w:cs="Calibri"/>
          <w:color w:val="333333"/>
        </w:rPr>
        <w:t xml:space="preserve"> </w:t>
      </w:r>
      <w:r w:rsidR="00D46FB9">
        <w:rPr>
          <w:rFonts w:ascii="Calibri" w:eastAsia="Calibri" w:hAnsi="Calibri" w:cs="Calibri"/>
          <w:color w:val="333333"/>
        </w:rPr>
        <w:t>call for:</w:t>
      </w:r>
    </w:p>
    <w:p w14:paraId="4323AAD2" w14:textId="09E7D2AB" w:rsidR="00A34FBF" w:rsidRPr="00A34FBF" w:rsidRDefault="00A34FBF" w:rsidP="00B80466">
      <w:pPr>
        <w:pStyle w:val="Lijstalinea"/>
        <w:numPr>
          <w:ilvl w:val="0"/>
          <w:numId w:val="2"/>
        </w:numPr>
        <w:spacing w:before="180" w:after="80"/>
      </w:pPr>
      <w:r w:rsidRPr="009D2EFC">
        <w:rPr>
          <w:rFonts w:ascii="Calibri" w:eastAsia="Calibri" w:hAnsi="Calibri" w:cs="Calibri"/>
          <w:color w:val="333333"/>
          <w:sz w:val="19"/>
          <w:szCs w:val="19"/>
        </w:rPr>
        <w:t xml:space="preserve">Strengthening </w:t>
      </w:r>
      <w:r w:rsidR="00A70FF5">
        <w:rPr>
          <w:rFonts w:ascii="Calibri" w:eastAsia="Calibri" w:hAnsi="Calibri" w:cs="Calibri"/>
          <w:color w:val="333333"/>
          <w:sz w:val="19"/>
          <w:szCs w:val="19"/>
        </w:rPr>
        <w:t>and</w:t>
      </w:r>
      <w:r w:rsidRPr="009D2EFC">
        <w:rPr>
          <w:rFonts w:ascii="Calibri" w:eastAsia="Calibri" w:hAnsi="Calibri" w:cs="Calibri"/>
          <w:color w:val="333333"/>
          <w:sz w:val="19"/>
          <w:szCs w:val="19"/>
        </w:rPr>
        <w:t xml:space="preserve"> building women's collective leadership infrastructure </w:t>
      </w:r>
      <w:r w:rsidR="001D486F">
        <w:rPr>
          <w:rFonts w:ascii="Calibri" w:eastAsia="Calibri" w:hAnsi="Calibri" w:cs="Calibri"/>
          <w:color w:val="333333"/>
          <w:sz w:val="19"/>
          <w:szCs w:val="19"/>
        </w:rPr>
        <w:t xml:space="preserve">through evidence-based partnerships </w:t>
      </w:r>
      <w:r w:rsidRPr="009D2EFC">
        <w:rPr>
          <w:rFonts w:ascii="Calibri" w:eastAsia="Calibri" w:hAnsi="Calibri" w:cs="Calibri"/>
          <w:color w:val="333333"/>
          <w:sz w:val="19"/>
          <w:szCs w:val="19"/>
        </w:rPr>
        <w:t>means backing South Sudanese women at every level to shape legislation, justice reform, and peace processes through psychosocial support</w:t>
      </w:r>
      <w:r w:rsidR="00D06670">
        <w:rPr>
          <w:rFonts w:ascii="Calibri" w:eastAsia="Calibri" w:hAnsi="Calibri" w:cs="Calibri"/>
          <w:color w:val="333333"/>
          <w:sz w:val="19"/>
          <w:szCs w:val="19"/>
        </w:rPr>
        <w:t>,</w:t>
      </w:r>
      <w:r w:rsidR="00E4633F">
        <w:rPr>
          <w:rFonts w:ascii="Calibri" w:eastAsia="Calibri" w:hAnsi="Calibri" w:cs="Calibri"/>
          <w:color w:val="333333"/>
          <w:sz w:val="19"/>
          <w:szCs w:val="19"/>
        </w:rPr>
        <w:t xml:space="preserve"> </w:t>
      </w:r>
      <w:r w:rsidRPr="009D2EFC">
        <w:rPr>
          <w:rFonts w:ascii="Calibri" w:eastAsia="Calibri" w:hAnsi="Calibri" w:cs="Calibri"/>
          <w:color w:val="333333"/>
          <w:sz w:val="19"/>
          <w:szCs w:val="19"/>
        </w:rPr>
        <w:t>gender-transformative p</w:t>
      </w:r>
      <w:r w:rsidR="00D06670">
        <w:rPr>
          <w:rFonts w:ascii="Calibri" w:eastAsia="Calibri" w:hAnsi="Calibri" w:cs="Calibri"/>
          <w:color w:val="333333"/>
          <w:sz w:val="19"/>
          <w:szCs w:val="19"/>
        </w:rPr>
        <w:t xml:space="preserve">rogramming and </w:t>
      </w:r>
      <w:r w:rsidR="00E4633F">
        <w:rPr>
          <w:rFonts w:ascii="Calibri" w:eastAsia="Calibri" w:hAnsi="Calibri" w:cs="Calibri"/>
          <w:color w:val="333333"/>
          <w:sz w:val="19"/>
          <w:szCs w:val="19"/>
        </w:rPr>
        <w:t>i</w:t>
      </w:r>
      <w:r w:rsidR="00E4633F" w:rsidRPr="009B3C19">
        <w:rPr>
          <w:rFonts w:ascii="Calibri" w:eastAsia="Calibri" w:hAnsi="Calibri" w:cs="Calibri"/>
          <w:color w:val="333333"/>
          <w:sz w:val="19"/>
          <w:szCs w:val="19"/>
        </w:rPr>
        <w:t>nvest</w:t>
      </w:r>
      <w:r w:rsidR="00E4633F">
        <w:rPr>
          <w:rFonts w:ascii="Calibri" w:eastAsia="Calibri" w:hAnsi="Calibri" w:cs="Calibri"/>
          <w:color w:val="333333"/>
          <w:sz w:val="19"/>
          <w:szCs w:val="19"/>
        </w:rPr>
        <w:t>ing</w:t>
      </w:r>
      <w:r w:rsidR="00E4633F" w:rsidRPr="009B3C19">
        <w:rPr>
          <w:rFonts w:ascii="Calibri" w:eastAsia="Calibri" w:hAnsi="Calibri" w:cs="Calibri"/>
          <w:color w:val="333333"/>
          <w:sz w:val="19"/>
          <w:szCs w:val="19"/>
        </w:rPr>
        <w:t xml:space="preserve"> in accountability </w:t>
      </w:r>
      <w:r w:rsidR="00FD0897">
        <w:rPr>
          <w:rFonts w:ascii="Calibri" w:eastAsia="Calibri" w:hAnsi="Calibri" w:cs="Calibri"/>
          <w:color w:val="333333"/>
          <w:sz w:val="19"/>
          <w:szCs w:val="19"/>
        </w:rPr>
        <w:t xml:space="preserve">in </w:t>
      </w:r>
      <w:r w:rsidR="00E4633F" w:rsidRPr="009B3C19">
        <w:rPr>
          <w:rFonts w:ascii="Calibri" w:eastAsia="Calibri" w:hAnsi="Calibri" w:cs="Calibri"/>
          <w:color w:val="333333"/>
          <w:sz w:val="19"/>
          <w:szCs w:val="19"/>
        </w:rPr>
        <w:t>relat</w:t>
      </w:r>
      <w:r w:rsidR="00FD0897">
        <w:rPr>
          <w:rFonts w:ascii="Calibri" w:eastAsia="Calibri" w:hAnsi="Calibri" w:cs="Calibri"/>
          <w:color w:val="333333"/>
          <w:sz w:val="19"/>
          <w:szCs w:val="19"/>
        </w:rPr>
        <w:t>ion</w:t>
      </w:r>
      <w:r w:rsidR="00E4633F" w:rsidRPr="009B3C19">
        <w:rPr>
          <w:rFonts w:ascii="Calibri" w:eastAsia="Calibri" w:hAnsi="Calibri" w:cs="Calibri"/>
          <w:color w:val="333333"/>
          <w:sz w:val="19"/>
          <w:szCs w:val="19"/>
        </w:rPr>
        <w:t xml:space="preserve"> to </w:t>
      </w:r>
      <w:r w:rsidR="005A4591">
        <w:rPr>
          <w:rFonts w:ascii="Calibri" w:eastAsia="Calibri" w:hAnsi="Calibri" w:cs="Calibri"/>
          <w:color w:val="333333"/>
          <w:sz w:val="19"/>
          <w:szCs w:val="19"/>
        </w:rPr>
        <w:t>c</w:t>
      </w:r>
      <w:r w:rsidR="00E4633F" w:rsidRPr="009B3C19">
        <w:rPr>
          <w:rFonts w:ascii="Calibri" w:eastAsia="Calibri" w:hAnsi="Calibri" w:cs="Calibri"/>
          <w:color w:val="333333"/>
          <w:sz w:val="19"/>
          <w:szCs w:val="19"/>
        </w:rPr>
        <w:t xml:space="preserve">onflict </w:t>
      </w:r>
      <w:r w:rsidR="005A4591">
        <w:rPr>
          <w:rFonts w:ascii="Calibri" w:eastAsia="Calibri" w:hAnsi="Calibri" w:cs="Calibri"/>
          <w:color w:val="333333"/>
          <w:sz w:val="19"/>
          <w:szCs w:val="19"/>
        </w:rPr>
        <w:t>r</w:t>
      </w:r>
      <w:r w:rsidR="00E4633F" w:rsidRPr="009B3C19">
        <w:rPr>
          <w:rFonts w:ascii="Calibri" w:eastAsia="Calibri" w:hAnsi="Calibri" w:cs="Calibri"/>
          <w:color w:val="333333"/>
          <w:sz w:val="19"/>
          <w:szCs w:val="19"/>
        </w:rPr>
        <w:t xml:space="preserve">elated </w:t>
      </w:r>
      <w:r w:rsidR="005A4591">
        <w:rPr>
          <w:rFonts w:ascii="Calibri" w:eastAsia="Calibri" w:hAnsi="Calibri" w:cs="Calibri"/>
          <w:color w:val="333333"/>
          <w:sz w:val="19"/>
          <w:szCs w:val="19"/>
        </w:rPr>
        <w:t>s</w:t>
      </w:r>
      <w:r w:rsidR="00E4633F" w:rsidRPr="009B3C19">
        <w:rPr>
          <w:rFonts w:ascii="Calibri" w:eastAsia="Calibri" w:hAnsi="Calibri" w:cs="Calibri"/>
          <w:color w:val="333333"/>
          <w:sz w:val="19"/>
          <w:szCs w:val="19"/>
        </w:rPr>
        <w:t xml:space="preserve">exual </w:t>
      </w:r>
      <w:r w:rsidR="005A4591">
        <w:rPr>
          <w:rFonts w:ascii="Calibri" w:eastAsia="Calibri" w:hAnsi="Calibri" w:cs="Calibri"/>
          <w:color w:val="333333"/>
          <w:sz w:val="19"/>
          <w:szCs w:val="19"/>
        </w:rPr>
        <w:t>v</w:t>
      </w:r>
      <w:r w:rsidR="00E4633F" w:rsidRPr="009B3C19">
        <w:rPr>
          <w:rFonts w:ascii="Calibri" w:eastAsia="Calibri" w:hAnsi="Calibri" w:cs="Calibri"/>
          <w:color w:val="333333"/>
          <w:sz w:val="19"/>
          <w:szCs w:val="19"/>
        </w:rPr>
        <w:t xml:space="preserve">iolence and </w:t>
      </w:r>
      <w:r w:rsidR="00E87502">
        <w:rPr>
          <w:rFonts w:ascii="Calibri" w:eastAsia="Calibri" w:hAnsi="Calibri" w:cs="Calibri"/>
          <w:color w:val="333333"/>
          <w:sz w:val="19"/>
          <w:szCs w:val="19"/>
        </w:rPr>
        <w:t>GBV</w:t>
      </w:r>
      <w:r w:rsidR="00E4633F" w:rsidRPr="009B3C19">
        <w:rPr>
          <w:rFonts w:ascii="Calibri" w:eastAsia="Calibri" w:hAnsi="Calibri" w:cs="Calibri"/>
          <w:color w:val="333333"/>
          <w:sz w:val="19"/>
          <w:szCs w:val="19"/>
        </w:rPr>
        <w:t xml:space="preserve"> </w:t>
      </w:r>
    </w:p>
    <w:p w14:paraId="36423D7B" w14:textId="11AE2276" w:rsidR="002C4778" w:rsidRDefault="00CA2E82">
      <w:pPr>
        <w:pStyle w:val="Lijstalinea"/>
        <w:numPr>
          <w:ilvl w:val="0"/>
          <w:numId w:val="2"/>
        </w:numPr>
        <w:spacing w:after="60"/>
      </w:pPr>
      <w:r>
        <w:rPr>
          <w:rFonts w:ascii="Calibri" w:eastAsia="Calibri" w:hAnsi="Calibri" w:cs="Calibri"/>
          <w:color w:val="333333"/>
          <w:sz w:val="19"/>
          <w:szCs w:val="19"/>
        </w:rPr>
        <w:t xml:space="preserve">Psychosocial wellbeing </w:t>
      </w:r>
      <w:r w:rsidR="00D46FB9">
        <w:rPr>
          <w:rFonts w:ascii="Calibri" w:eastAsia="Calibri" w:hAnsi="Calibri" w:cs="Calibri"/>
          <w:color w:val="333333"/>
          <w:sz w:val="19"/>
          <w:szCs w:val="19"/>
        </w:rPr>
        <w:t>as</w:t>
      </w:r>
      <w:r>
        <w:rPr>
          <w:rFonts w:ascii="Calibri" w:eastAsia="Calibri" w:hAnsi="Calibri" w:cs="Calibri"/>
          <w:color w:val="333333"/>
          <w:sz w:val="19"/>
          <w:szCs w:val="19"/>
        </w:rPr>
        <w:t xml:space="preserve"> a prerequisite for participation — women engage more effectively in civic and peace processes when they have access to safe spaces, emotional support, and collective care</w:t>
      </w:r>
    </w:p>
    <w:p w14:paraId="263D6D67" w14:textId="69981840" w:rsidR="002C4778" w:rsidRDefault="00CA2E82">
      <w:pPr>
        <w:pStyle w:val="Lijstalinea"/>
        <w:numPr>
          <w:ilvl w:val="0"/>
          <w:numId w:val="2"/>
        </w:numPr>
        <w:spacing w:after="60"/>
      </w:pPr>
      <w:r>
        <w:rPr>
          <w:rFonts w:ascii="Calibri" w:eastAsia="Calibri" w:hAnsi="Calibri" w:cs="Calibri"/>
          <w:color w:val="333333"/>
          <w:sz w:val="19"/>
          <w:szCs w:val="19"/>
        </w:rPr>
        <w:t>Community-based M</w:t>
      </w:r>
      <w:r w:rsidR="005019D5">
        <w:rPr>
          <w:rFonts w:ascii="Calibri" w:eastAsia="Calibri" w:hAnsi="Calibri" w:cs="Calibri"/>
          <w:color w:val="333333"/>
          <w:sz w:val="19"/>
          <w:szCs w:val="19"/>
        </w:rPr>
        <w:t xml:space="preserve">ental </w:t>
      </w:r>
      <w:r>
        <w:rPr>
          <w:rFonts w:ascii="Calibri" w:eastAsia="Calibri" w:hAnsi="Calibri" w:cs="Calibri"/>
          <w:color w:val="333333"/>
          <w:sz w:val="19"/>
          <w:szCs w:val="19"/>
        </w:rPr>
        <w:t>H</w:t>
      </w:r>
      <w:r w:rsidR="005019D5">
        <w:rPr>
          <w:rFonts w:ascii="Calibri" w:eastAsia="Calibri" w:hAnsi="Calibri" w:cs="Calibri"/>
          <w:color w:val="333333"/>
          <w:sz w:val="19"/>
          <w:szCs w:val="19"/>
        </w:rPr>
        <w:t xml:space="preserve">ealth </w:t>
      </w:r>
      <w:r>
        <w:rPr>
          <w:rFonts w:ascii="Calibri" w:eastAsia="Calibri" w:hAnsi="Calibri" w:cs="Calibri"/>
          <w:color w:val="333333"/>
          <w:sz w:val="19"/>
          <w:szCs w:val="19"/>
        </w:rPr>
        <w:t>P</w:t>
      </w:r>
      <w:r w:rsidR="005019D5">
        <w:rPr>
          <w:rFonts w:ascii="Calibri" w:eastAsia="Calibri" w:hAnsi="Calibri" w:cs="Calibri"/>
          <w:color w:val="333333"/>
          <w:sz w:val="19"/>
          <w:szCs w:val="19"/>
        </w:rPr>
        <w:t>sycho-</w:t>
      </w:r>
      <w:r>
        <w:rPr>
          <w:rFonts w:ascii="Calibri" w:eastAsia="Calibri" w:hAnsi="Calibri" w:cs="Calibri"/>
          <w:color w:val="333333"/>
          <w:sz w:val="19"/>
          <w:szCs w:val="19"/>
        </w:rPr>
        <w:t>S</w:t>
      </w:r>
      <w:r w:rsidR="005019D5">
        <w:rPr>
          <w:rFonts w:ascii="Calibri" w:eastAsia="Calibri" w:hAnsi="Calibri" w:cs="Calibri"/>
          <w:color w:val="333333"/>
          <w:sz w:val="19"/>
          <w:szCs w:val="19"/>
        </w:rPr>
        <w:t xml:space="preserve">ocial </w:t>
      </w:r>
      <w:r>
        <w:rPr>
          <w:rFonts w:ascii="Calibri" w:eastAsia="Calibri" w:hAnsi="Calibri" w:cs="Calibri"/>
          <w:color w:val="333333"/>
          <w:sz w:val="19"/>
          <w:szCs w:val="19"/>
        </w:rPr>
        <w:t>S</w:t>
      </w:r>
      <w:r w:rsidR="005019D5">
        <w:rPr>
          <w:rFonts w:ascii="Calibri" w:eastAsia="Calibri" w:hAnsi="Calibri" w:cs="Calibri"/>
          <w:color w:val="333333"/>
          <w:sz w:val="19"/>
          <w:szCs w:val="19"/>
        </w:rPr>
        <w:t>upport</w:t>
      </w:r>
      <w:r>
        <w:rPr>
          <w:rFonts w:ascii="Calibri" w:eastAsia="Calibri" w:hAnsi="Calibri" w:cs="Calibri"/>
          <w:color w:val="333333"/>
          <w:sz w:val="19"/>
          <w:szCs w:val="19"/>
        </w:rPr>
        <w:t xml:space="preserve"> rebuilds social cohesion — trust-building and dialogue reduce inter-group tensions and enable collective action in divided communities</w:t>
      </w:r>
    </w:p>
    <w:p w14:paraId="1D9ADA78" w14:textId="2F7E441C" w:rsidR="002C4778" w:rsidRDefault="00CA2E82">
      <w:pPr>
        <w:pStyle w:val="Lijstalinea"/>
        <w:numPr>
          <w:ilvl w:val="0"/>
          <w:numId w:val="2"/>
        </w:numPr>
        <w:spacing w:after="60"/>
      </w:pPr>
      <w:r>
        <w:rPr>
          <w:rFonts w:ascii="Calibri" w:eastAsia="Calibri" w:hAnsi="Calibri" w:cs="Calibri"/>
          <w:color w:val="333333"/>
          <w:sz w:val="19"/>
          <w:szCs w:val="19"/>
        </w:rPr>
        <w:t xml:space="preserve">Challenging militarised masculinities reduces violence — engaging men and boys as active partners </w:t>
      </w:r>
      <w:r w:rsidR="004416B3">
        <w:rPr>
          <w:rFonts w:ascii="Calibri" w:eastAsia="Calibri" w:hAnsi="Calibri" w:cs="Calibri"/>
          <w:color w:val="333333"/>
          <w:sz w:val="19"/>
          <w:szCs w:val="19"/>
        </w:rPr>
        <w:t>(</w:t>
      </w:r>
      <w:r>
        <w:rPr>
          <w:rFonts w:ascii="Calibri" w:eastAsia="Calibri" w:hAnsi="Calibri" w:cs="Calibri"/>
          <w:color w:val="333333"/>
          <w:sz w:val="19"/>
          <w:szCs w:val="19"/>
        </w:rPr>
        <w:t>not obstacles</w:t>
      </w:r>
      <w:r w:rsidR="004416B3">
        <w:rPr>
          <w:rFonts w:ascii="Calibri" w:eastAsia="Calibri" w:hAnsi="Calibri" w:cs="Calibri"/>
          <w:color w:val="333333"/>
          <w:sz w:val="19"/>
          <w:szCs w:val="19"/>
        </w:rPr>
        <w:t>)</w:t>
      </w:r>
      <w:r>
        <w:rPr>
          <w:rFonts w:ascii="Calibri" w:eastAsia="Calibri" w:hAnsi="Calibri" w:cs="Calibri"/>
          <w:color w:val="333333"/>
          <w:sz w:val="19"/>
          <w:szCs w:val="19"/>
        </w:rPr>
        <w:t xml:space="preserve"> is transformative for community s</w:t>
      </w:r>
      <w:r w:rsidR="00BA1D07">
        <w:rPr>
          <w:rFonts w:ascii="Calibri" w:eastAsia="Calibri" w:hAnsi="Calibri" w:cs="Calibri"/>
          <w:color w:val="333333"/>
          <w:sz w:val="19"/>
          <w:szCs w:val="19"/>
        </w:rPr>
        <w:t>afety</w:t>
      </w:r>
      <w:r>
        <w:rPr>
          <w:rFonts w:ascii="Calibri" w:eastAsia="Calibri" w:hAnsi="Calibri" w:cs="Calibri"/>
          <w:color w:val="333333"/>
          <w:sz w:val="19"/>
          <w:szCs w:val="19"/>
        </w:rPr>
        <w:t xml:space="preserve"> and gender equality</w:t>
      </w:r>
    </w:p>
    <w:p w14:paraId="58BBDD19" w14:textId="38D89B40" w:rsidR="002C4778" w:rsidRDefault="00CA2E82">
      <w:pPr>
        <w:pStyle w:val="Lijstalinea"/>
        <w:numPr>
          <w:ilvl w:val="0"/>
          <w:numId w:val="2"/>
        </w:numPr>
        <w:spacing w:after="60"/>
      </w:pPr>
      <w:r>
        <w:rPr>
          <w:rFonts w:ascii="Calibri" w:eastAsia="Calibri" w:hAnsi="Calibri" w:cs="Calibri"/>
          <w:color w:val="333333"/>
          <w:sz w:val="19"/>
          <w:szCs w:val="19"/>
        </w:rPr>
        <w:t xml:space="preserve">Gender-transformative </w:t>
      </w:r>
      <w:r w:rsidR="00647E54">
        <w:rPr>
          <w:rFonts w:ascii="Calibri" w:eastAsia="Calibri" w:hAnsi="Calibri" w:cs="Calibri"/>
          <w:color w:val="333333"/>
          <w:sz w:val="19"/>
          <w:szCs w:val="19"/>
        </w:rPr>
        <w:t>approach</w:t>
      </w:r>
      <w:r w:rsidR="00BA1D07">
        <w:rPr>
          <w:rFonts w:ascii="Calibri" w:eastAsia="Calibri" w:hAnsi="Calibri" w:cs="Calibri"/>
          <w:color w:val="333333"/>
          <w:sz w:val="19"/>
          <w:szCs w:val="19"/>
        </w:rPr>
        <w:t>es</w:t>
      </w:r>
      <w:r w:rsidR="00647E54">
        <w:rPr>
          <w:rFonts w:ascii="Calibri" w:eastAsia="Calibri" w:hAnsi="Calibri" w:cs="Calibri"/>
          <w:color w:val="333333"/>
          <w:sz w:val="19"/>
          <w:szCs w:val="19"/>
        </w:rPr>
        <w:t xml:space="preserve"> enable women and young people to move from symbolic inclusion to legitimate decision making roles in peace processes, mediation and governance at community, county and national level</w:t>
      </w:r>
    </w:p>
    <w:p w14:paraId="3A1DE811" w14:textId="045449DF" w:rsidR="002C4778" w:rsidRPr="009D2EFC" w:rsidRDefault="00CA2E82">
      <w:pPr>
        <w:pStyle w:val="Lijstalinea"/>
        <w:numPr>
          <w:ilvl w:val="0"/>
          <w:numId w:val="2"/>
        </w:numPr>
        <w:spacing w:after="60"/>
      </w:pPr>
      <w:r>
        <w:rPr>
          <w:rFonts w:ascii="Calibri" w:eastAsia="Calibri" w:hAnsi="Calibri" w:cs="Calibri"/>
          <w:color w:val="333333"/>
          <w:sz w:val="19"/>
          <w:szCs w:val="19"/>
        </w:rPr>
        <w:t>Locally embedded systems drive sustainability — community structures, traditional leaders, and women-led organisations are the backbone of peacebuilding; they must be resourced and respected as such</w:t>
      </w:r>
    </w:p>
    <w:p w14:paraId="2EDC540C" w14:textId="66362EF9" w:rsidR="004F295F" w:rsidRPr="009B3C19" w:rsidRDefault="004F295F" w:rsidP="004F295F">
      <w:pPr>
        <w:pStyle w:val="Lijstalinea"/>
        <w:numPr>
          <w:ilvl w:val="0"/>
          <w:numId w:val="2"/>
        </w:numPr>
        <w:spacing w:after="60"/>
      </w:pPr>
      <w:r>
        <w:rPr>
          <w:rFonts w:ascii="Calibri" w:eastAsia="Calibri" w:hAnsi="Calibri" w:cs="Calibri"/>
          <w:color w:val="333333"/>
          <w:sz w:val="19"/>
          <w:szCs w:val="19"/>
        </w:rPr>
        <w:t>Short-term, fragmented funding undermines impact — meaningful psychosocial recovery, locally rooted peacebuilding, norm transformation and trust-building require multi-year investment</w:t>
      </w:r>
      <w:r w:rsidR="00BE52C9">
        <w:rPr>
          <w:rFonts w:ascii="Calibri" w:eastAsia="Calibri" w:hAnsi="Calibri" w:cs="Calibri"/>
          <w:color w:val="333333"/>
          <w:sz w:val="19"/>
          <w:szCs w:val="19"/>
        </w:rPr>
        <w:t xml:space="preserve"> and </w:t>
      </w:r>
      <w:r>
        <w:rPr>
          <w:rFonts w:ascii="Calibri" w:eastAsia="Calibri" w:hAnsi="Calibri" w:cs="Calibri"/>
          <w:color w:val="333333"/>
          <w:sz w:val="19"/>
          <w:szCs w:val="19"/>
        </w:rPr>
        <w:t>ensuring sustainability beyond project cycles</w:t>
      </w:r>
    </w:p>
    <w:sectPr w:rsidR="004F295F" w:rsidRPr="009B3C19">
      <w:pgSz w:w="11906" w:h="16838"/>
      <w:pgMar w:top="800" w:right="1000" w:bottom="800" w:left="10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F3E48"/>
    <w:multiLevelType w:val="hybridMultilevel"/>
    <w:tmpl w:val="2ED29C5A"/>
    <w:lvl w:ilvl="0" w:tplc="94F061B6">
      <w:start w:val="1"/>
      <w:numFmt w:val="bullet"/>
      <w:lvlText w:val="•"/>
      <w:lvlJc w:val="left"/>
      <w:pPr>
        <w:ind w:left="440" w:hanging="280"/>
      </w:pPr>
    </w:lvl>
    <w:lvl w:ilvl="1" w:tplc="DAB00E08">
      <w:numFmt w:val="decimal"/>
      <w:lvlText w:val=""/>
      <w:lvlJc w:val="left"/>
    </w:lvl>
    <w:lvl w:ilvl="2" w:tplc="888CEBE6">
      <w:numFmt w:val="decimal"/>
      <w:lvlText w:val=""/>
      <w:lvlJc w:val="left"/>
    </w:lvl>
    <w:lvl w:ilvl="3" w:tplc="70E8E902">
      <w:numFmt w:val="decimal"/>
      <w:lvlText w:val=""/>
      <w:lvlJc w:val="left"/>
    </w:lvl>
    <w:lvl w:ilvl="4" w:tplc="7332A872">
      <w:numFmt w:val="decimal"/>
      <w:lvlText w:val=""/>
      <w:lvlJc w:val="left"/>
    </w:lvl>
    <w:lvl w:ilvl="5" w:tplc="907A0C9A">
      <w:numFmt w:val="decimal"/>
      <w:lvlText w:val=""/>
      <w:lvlJc w:val="left"/>
    </w:lvl>
    <w:lvl w:ilvl="6" w:tplc="EAE62BB8">
      <w:numFmt w:val="decimal"/>
      <w:lvlText w:val=""/>
      <w:lvlJc w:val="left"/>
    </w:lvl>
    <w:lvl w:ilvl="7" w:tplc="B4ACD9E8">
      <w:numFmt w:val="decimal"/>
      <w:lvlText w:val=""/>
      <w:lvlJc w:val="left"/>
    </w:lvl>
    <w:lvl w:ilvl="8" w:tplc="132CED34">
      <w:numFmt w:val="decimal"/>
      <w:lvlText w:val=""/>
      <w:lvlJc w:val="left"/>
    </w:lvl>
  </w:abstractNum>
  <w:abstractNum w:abstractNumId="1" w15:restartNumberingAfterBreak="0">
    <w:nsid w:val="0D7F6CCD"/>
    <w:multiLevelType w:val="hybridMultilevel"/>
    <w:tmpl w:val="71D8088A"/>
    <w:lvl w:ilvl="0" w:tplc="D1D8C42E">
      <w:start w:val="1"/>
      <w:numFmt w:val="bullet"/>
      <w:lvlText w:val="●"/>
      <w:lvlJc w:val="left"/>
      <w:pPr>
        <w:ind w:left="720" w:hanging="360"/>
      </w:pPr>
    </w:lvl>
    <w:lvl w:ilvl="1" w:tplc="BFF22854">
      <w:start w:val="1"/>
      <w:numFmt w:val="bullet"/>
      <w:lvlText w:val="○"/>
      <w:lvlJc w:val="left"/>
      <w:pPr>
        <w:ind w:left="1440" w:hanging="360"/>
      </w:pPr>
    </w:lvl>
    <w:lvl w:ilvl="2" w:tplc="AD401B46">
      <w:start w:val="1"/>
      <w:numFmt w:val="bullet"/>
      <w:lvlText w:val="■"/>
      <w:lvlJc w:val="left"/>
      <w:pPr>
        <w:ind w:left="2160" w:hanging="360"/>
      </w:pPr>
    </w:lvl>
    <w:lvl w:ilvl="3" w:tplc="B784E65E">
      <w:start w:val="1"/>
      <w:numFmt w:val="bullet"/>
      <w:lvlText w:val="●"/>
      <w:lvlJc w:val="left"/>
      <w:pPr>
        <w:ind w:left="2880" w:hanging="360"/>
      </w:pPr>
    </w:lvl>
    <w:lvl w:ilvl="4" w:tplc="402A1CF0">
      <w:start w:val="1"/>
      <w:numFmt w:val="bullet"/>
      <w:lvlText w:val="○"/>
      <w:lvlJc w:val="left"/>
      <w:pPr>
        <w:ind w:left="3600" w:hanging="360"/>
      </w:pPr>
    </w:lvl>
    <w:lvl w:ilvl="5" w:tplc="84F8A1EA">
      <w:start w:val="1"/>
      <w:numFmt w:val="bullet"/>
      <w:lvlText w:val="■"/>
      <w:lvlJc w:val="left"/>
      <w:pPr>
        <w:ind w:left="4320" w:hanging="360"/>
      </w:pPr>
    </w:lvl>
    <w:lvl w:ilvl="6" w:tplc="0CF6BDEA">
      <w:start w:val="1"/>
      <w:numFmt w:val="bullet"/>
      <w:lvlText w:val="●"/>
      <w:lvlJc w:val="left"/>
      <w:pPr>
        <w:ind w:left="5040" w:hanging="360"/>
      </w:pPr>
    </w:lvl>
    <w:lvl w:ilvl="7" w:tplc="2EC6BD2C">
      <w:start w:val="1"/>
      <w:numFmt w:val="bullet"/>
      <w:lvlText w:val="●"/>
      <w:lvlJc w:val="left"/>
      <w:pPr>
        <w:ind w:left="5760" w:hanging="360"/>
      </w:pPr>
    </w:lvl>
    <w:lvl w:ilvl="8" w:tplc="D2AC8D3A">
      <w:start w:val="1"/>
      <w:numFmt w:val="bullet"/>
      <w:lvlText w:val="●"/>
      <w:lvlJc w:val="left"/>
      <w:pPr>
        <w:ind w:left="6480" w:hanging="360"/>
      </w:pPr>
    </w:lvl>
  </w:abstractNum>
  <w:num w:numId="1" w16cid:durableId="711464022">
    <w:abstractNumId w:val="1"/>
    <w:lvlOverride w:ilvl="0">
      <w:startOverride w:val="1"/>
    </w:lvlOverride>
  </w:num>
  <w:num w:numId="2" w16cid:durableId="8646812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4778"/>
    <w:rsid w:val="00012706"/>
    <w:rsid w:val="000A27AB"/>
    <w:rsid w:val="000A669E"/>
    <w:rsid w:val="000C305D"/>
    <w:rsid w:val="001255CD"/>
    <w:rsid w:val="001D486F"/>
    <w:rsid w:val="00206C95"/>
    <w:rsid w:val="00223723"/>
    <w:rsid w:val="00243C81"/>
    <w:rsid w:val="00255CF8"/>
    <w:rsid w:val="002A72FA"/>
    <w:rsid w:val="002C4778"/>
    <w:rsid w:val="003D3626"/>
    <w:rsid w:val="00412744"/>
    <w:rsid w:val="004416B3"/>
    <w:rsid w:val="00444B41"/>
    <w:rsid w:val="00461E11"/>
    <w:rsid w:val="004D51ED"/>
    <w:rsid w:val="004E2C15"/>
    <w:rsid w:val="004F295F"/>
    <w:rsid w:val="005019D5"/>
    <w:rsid w:val="005A4591"/>
    <w:rsid w:val="005D62EF"/>
    <w:rsid w:val="005D7174"/>
    <w:rsid w:val="005E4795"/>
    <w:rsid w:val="00625D18"/>
    <w:rsid w:val="00647E54"/>
    <w:rsid w:val="006F2FF3"/>
    <w:rsid w:val="007000EF"/>
    <w:rsid w:val="00784B16"/>
    <w:rsid w:val="007A7658"/>
    <w:rsid w:val="008E021C"/>
    <w:rsid w:val="009B3C19"/>
    <w:rsid w:val="009C4876"/>
    <w:rsid w:val="009D18BB"/>
    <w:rsid w:val="009D2EFC"/>
    <w:rsid w:val="00A329A7"/>
    <w:rsid w:val="00A34FBF"/>
    <w:rsid w:val="00A55DDE"/>
    <w:rsid w:val="00A70FF5"/>
    <w:rsid w:val="00B35BB7"/>
    <w:rsid w:val="00B80466"/>
    <w:rsid w:val="00B8208B"/>
    <w:rsid w:val="00BA1D07"/>
    <w:rsid w:val="00BE52C9"/>
    <w:rsid w:val="00BF1343"/>
    <w:rsid w:val="00C34EAC"/>
    <w:rsid w:val="00C4034E"/>
    <w:rsid w:val="00C80870"/>
    <w:rsid w:val="00CA2E82"/>
    <w:rsid w:val="00D06670"/>
    <w:rsid w:val="00D41626"/>
    <w:rsid w:val="00D43646"/>
    <w:rsid w:val="00D46FB9"/>
    <w:rsid w:val="00D74D8B"/>
    <w:rsid w:val="00E4633F"/>
    <w:rsid w:val="00E87502"/>
    <w:rsid w:val="00ED5030"/>
    <w:rsid w:val="00EF10E1"/>
    <w:rsid w:val="00FB1F98"/>
    <w:rsid w:val="00FD0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637C1"/>
  <w15:docId w15:val="{016D4A22-86D9-45CB-9745-7CFA82165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Kop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Kop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Kop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Kop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Kop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jstaline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Voetnootmarkering">
    <w:name w:val="footnote reference"/>
    <w:uiPriority w:val="99"/>
    <w:semiHidden/>
    <w:unhideWhenUsed/>
    <w:rPr>
      <w:vertAlign w:val="superscript"/>
    </w:rPr>
  </w:style>
  <w:style w:type="paragraph" w:styleId="Voetnoottekst">
    <w:name w:val="footnote text"/>
    <w:link w:val="VoetnoottekstChar"/>
    <w:uiPriority w:val="99"/>
    <w:semiHidden/>
    <w:unhideWhenUsed/>
  </w:style>
  <w:style w:type="character" w:customStyle="1" w:styleId="VoetnoottekstChar">
    <w:name w:val="Voetnoottekst Char"/>
    <w:link w:val="Voetnoottekst"/>
    <w:uiPriority w:val="99"/>
    <w:semiHidden/>
    <w:unhideWhenUsed/>
    <w:rPr>
      <w:sz w:val="20"/>
      <w:szCs w:val="20"/>
    </w:rPr>
  </w:style>
  <w:style w:type="character" w:styleId="Eindnootmarkering">
    <w:name w:val="endnote reference"/>
    <w:uiPriority w:val="99"/>
    <w:semiHidden/>
    <w:unhideWhenUsed/>
    <w:rPr>
      <w:vertAlign w:val="superscript"/>
    </w:rPr>
  </w:style>
  <w:style w:type="paragraph" w:styleId="Eindnoottekst">
    <w:name w:val="endnote text"/>
    <w:link w:val="EindnoottekstChar"/>
    <w:uiPriority w:val="99"/>
    <w:semiHidden/>
    <w:unhideWhenUsed/>
  </w:style>
  <w:style w:type="character" w:customStyle="1" w:styleId="EindnoottekstChar">
    <w:name w:val="Eindnoottekst Char"/>
    <w:link w:val="Eindnoottekst"/>
    <w:uiPriority w:val="99"/>
    <w:semiHidden/>
    <w:unhideWhenUsed/>
    <w:rPr>
      <w:sz w:val="20"/>
      <w:szCs w:val="20"/>
    </w:rPr>
  </w:style>
  <w:style w:type="paragraph" w:styleId="Revisie">
    <w:name w:val="Revision"/>
    <w:hidden/>
    <w:uiPriority w:val="99"/>
    <w:semiHidden/>
    <w:rsid w:val="00647E54"/>
  </w:style>
  <w:style w:type="character" w:styleId="Verwijzingopmerking">
    <w:name w:val="annotation reference"/>
    <w:basedOn w:val="Standaardalinea-lettertype"/>
    <w:uiPriority w:val="99"/>
    <w:semiHidden/>
    <w:unhideWhenUsed/>
    <w:rsid w:val="00D4364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D43646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D43646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4364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4364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8ecc9ef-538b-42d4-a0ef-16df45848860" xsi:nil="true"/>
    <lcf76f155ced4ddcb4097134ff3c332f xmlns="2f5006b1-8e87-4d36-a58c-16c9d2d7a748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4ADB8985190246BA5D99D3FB4B95ED" ma:contentTypeVersion="18" ma:contentTypeDescription="Een nieuw document maken." ma:contentTypeScope="" ma:versionID="71cc5183fa508885ec4e2ab0703046f6">
  <xsd:schema xmlns:xsd="http://www.w3.org/2001/XMLSchema" xmlns:xs="http://www.w3.org/2001/XMLSchema" xmlns:p="http://schemas.microsoft.com/office/2006/metadata/properties" xmlns:ns2="2f5006b1-8e87-4d36-a58c-16c9d2d7a748" xmlns:ns3="18ecc9ef-538b-42d4-a0ef-16df45848860" targetNamespace="http://schemas.microsoft.com/office/2006/metadata/properties" ma:root="true" ma:fieldsID="a78649fef51df8d74dff24e998288d5c" ns2:_="" ns3:_="">
    <xsd:import namespace="2f5006b1-8e87-4d36-a58c-16c9d2d7a748"/>
    <xsd:import namespace="18ecc9ef-538b-42d4-a0ef-16df458488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5006b1-8e87-4d36-a58c-16c9d2d7a7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5df26b4b-1bc3-4824-bd8e-f5969d01bd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ecc9ef-538b-42d4-a0ef-16df4584886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4263d7a-f406-4e77-b481-b041089aa60b}" ma:internalName="TaxCatchAll" ma:showField="CatchAllData" ma:web="18ecc9ef-538b-42d4-a0ef-16df458488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4E613E-0193-4534-BF61-D2C1ABB9FA32}">
  <ds:schemaRefs>
    <ds:schemaRef ds:uri="http://schemas.microsoft.com/office/2006/metadata/properties"/>
    <ds:schemaRef ds:uri="http://schemas.microsoft.com/office/infopath/2007/PartnerControls"/>
    <ds:schemaRef ds:uri="18ecc9ef-538b-42d4-a0ef-16df45848860"/>
    <ds:schemaRef ds:uri="2f5006b1-8e87-4d36-a58c-16c9d2d7a748"/>
  </ds:schemaRefs>
</ds:datastoreItem>
</file>

<file path=customXml/itemProps2.xml><?xml version="1.0" encoding="utf-8"?>
<ds:datastoreItem xmlns:ds="http://schemas.openxmlformats.org/officeDocument/2006/customXml" ds:itemID="{0D14F3E5-020E-45FD-A84D-DFFABB09EF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5006b1-8e87-4d36-a58c-16c9d2d7a748"/>
    <ds:schemaRef ds:uri="18ecc9ef-538b-42d4-a0ef-16df458488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C321E6-3D42-4590-9B0E-7CD3589B2798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60a4c0c-62e6-46e8-a953-1fcee6f69cf8}" enabled="1" method="Standard" siteId="{c88f7b4f-9d06-497e-a1d5-63d70adbf27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608</Words>
  <Characters>3345</Characters>
  <Application>Microsoft Office Word</Application>
  <DocSecurity>0</DocSecurity>
  <Lines>27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Sara Ketelaar</cp:lastModifiedBy>
  <cp:revision>4</cp:revision>
  <cp:lastPrinted>2026-05-18T14:37:00Z</cp:lastPrinted>
  <dcterms:created xsi:type="dcterms:W3CDTF">2026-05-21T21:12:00Z</dcterms:created>
  <dcterms:modified xsi:type="dcterms:W3CDTF">2026-05-21T21:13:00Z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0x010100AA4ADB8985190246BA5D99D3FB4B95ED</vt:lpwstr>
  </property>
</Properties>
</file>